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Default="009E0861" w:rsidP="001A3973">
      <w:pPr>
        <w:tabs>
          <w:tab w:val="left" w:pos="1843"/>
        </w:tabs>
        <w:spacing w:after="0" w:line="360" w:lineRule="auto"/>
        <w:jc w:val="both"/>
        <w:rPr>
          <w:rFonts w:ascii="Palatino Linotype" w:hAnsi="Palatino Linotype" w:cs="Tahoma"/>
          <w:b/>
          <w:caps/>
        </w:rPr>
      </w:pPr>
      <w:r w:rsidRPr="00C56B73">
        <w:rPr>
          <w:rFonts w:ascii="Palatino Linotype" w:hAnsi="Palatino Linotype" w:cs="Tahoma"/>
          <w:b/>
        </w:rPr>
        <w:t xml:space="preserve">VOTO PARTICULAR QUE FORMULA EL COMISIONADO LUIS GUSTAVO PARRA NORIEGA, </w:t>
      </w:r>
      <w:r w:rsidR="007A3584" w:rsidRPr="00C56B73">
        <w:rPr>
          <w:rFonts w:ascii="Palatino Linotype" w:hAnsi="Palatino Linotype" w:cs="Tahoma"/>
          <w:b/>
        </w:rPr>
        <w:t>A</w:t>
      </w:r>
      <w:r w:rsidRPr="00C56B73">
        <w:rPr>
          <w:rFonts w:ascii="Palatino Linotype" w:hAnsi="Palatino Linotype" w:cs="Tahoma"/>
          <w:b/>
        </w:rPr>
        <w:t xml:space="preserve"> LA RESOLUCIÓN DEL RECURSO DE REVISIÓN </w:t>
      </w:r>
      <w:r w:rsidR="001A3973" w:rsidRPr="00C56B73">
        <w:rPr>
          <w:rFonts w:ascii="Palatino Linotype" w:hAnsi="Palatino Linotype" w:cs="Tahoma"/>
          <w:b/>
        </w:rPr>
        <w:t>0</w:t>
      </w:r>
      <w:r w:rsidR="007A3584" w:rsidRPr="00C56B73">
        <w:rPr>
          <w:rFonts w:ascii="Palatino Linotype" w:hAnsi="Palatino Linotype" w:cs="Tahoma"/>
          <w:b/>
        </w:rPr>
        <w:t>4</w:t>
      </w:r>
      <w:r w:rsidR="00B22AAE">
        <w:rPr>
          <w:rFonts w:ascii="Palatino Linotype" w:hAnsi="Palatino Linotype" w:cs="Tahoma"/>
          <w:b/>
        </w:rPr>
        <w:t>5</w:t>
      </w:r>
      <w:r w:rsidR="007A3584" w:rsidRPr="00C56B73">
        <w:rPr>
          <w:rFonts w:ascii="Palatino Linotype" w:hAnsi="Palatino Linotype" w:cs="Tahoma"/>
          <w:b/>
        </w:rPr>
        <w:t>80</w:t>
      </w:r>
      <w:r w:rsidR="00DE4452" w:rsidRPr="00C56B73">
        <w:rPr>
          <w:rFonts w:ascii="Palatino Linotype" w:hAnsi="Palatino Linotype" w:cs="Tahoma"/>
          <w:b/>
        </w:rPr>
        <w:t>/INFOEM/IP/RR/</w:t>
      </w:r>
      <w:r w:rsidR="00592A1B" w:rsidRPr="00C56B73">
        <w:rPr>
          <w:rFonts w:ascii="Palatino Linotype" w:hAnsi="Palatino Linotype" w:cs="Tahoma"/>
          <w:b/>
        </w:rPr>
        <w:t>2018</w:t>
      </w:r>
      <w:r w:rsidR="00B22AAE">
        <w:rPr>
          <w:rFonts w:ascii="Palatino Linotype" w:hAnsi="Palatino Linotype" w:cs="Tahoma"/>
          <w:b/>
        </w:rPr>
        <w:t>,</w:t>
      </w:r>
      <w:r w:rsidRPr="00C56B73">
        <w:rPr>
          <w:rFonts w:ascii="Palatino Linotype" w:hAnsi="Palatino Linotype" w:cs="Tahoma"/>
          <w:b/>
        </w:rPr>
        <w:t xml:space="preserve"> PROMOVIDO EN </w:t>
      </w:r>
      <w:r w:rsidR="00592A1B" w:rsidRPr="00C56B73">
        <w:rPr>
          <w:rFonts w:ascii="Palatino Linotype" w:hAnsi="Palatino Linotype" w:cs="Tahoma"/>
          <w:b/>
        </w:rPr>
        <w:t xml:space="preserve">CONTRA </w:t>
      </w:r>
      <w:r w:rsidR="00592A1B" w:rsidRPr="00C56B73">
        <w:rPr>
          <w:rFonts w:ascii="Palatino Linotype" w:hAnsi="Palatino Linotype" w:cs="Tahoma"/>
          <w:b/>
          <w:caps/>
        </w:rPr>
        <w:t>de</w:t>
      </w:r>
      <w:r w:rsidR="007A3584" w:rsidRPr="00C56B73">
        <w:rPr>
          <w:rFonts w:ascii="Palatino Linotype" w:hAnsi="Palatino Linotype" w:cs="Tahoma"/>
          <w:b/>
          <w:caps/>
        </w:rPr>
        <w:t xml:space="preserve"> </w:t>
      </w:r>
      <w:r w:rsidR="00592A1B" w:rsidRPr="00C56B73">
        <w:rPr>
          <w:rFonts w:ascii="Palatino Linotype" w:hAnsi="Palatino Linotype" w:cs="Tahoma"/>
          <w:b/>
          <w:caps/>
        </w:rPr>
        <w:t>l</w:t>
      </w:r>
      <w:r w:rsidR="007A3584" w:rsidRPr="00C56B73">
        <w:rPr>
          <w:rFonts w:ascii="Palatino Linotype" w:hAnsi="Palatino Linotype" w:cs="Tahoma"/>
          <w:b/>
          <w:caps/>
        </w:rPr>
        <w:t>A</w:t>
      </w:r>
      <w:r w:rsidR="00592A1B" w:rsidRPr="00C56B73">
        <w:rPr>
          <w:rFonts w:ascii="Palatino Linotype" w:hAnsi="Palatino Linotype" w:cs="Tahoma"/>
          <w:b/>
          <w:caps/>
        </w:rPr>
        <w:t xml:space="preserve"> </w:t>
      </w:r>
      <w:r w:rsidR="007A3584" w:rsidRPr="00C56B73">
        <w:rPr>
          <w:rFonts w:ascii="Palatino Linotype" w:hAnsi="Palatino Linotype" w:cs="Tahoma"/>
          <w:b/>
          <w:caps/>
        </w:rPr>
        <w:t>SECRETARÍA DE FINANZAS</w:t>
      </w:r>
      <w:r w:rsidR="001A3973" w:rsidRPr="00C56B73">
        <w:rPr>
          <w:rFonts w:ascii="Palatino Linotype" w:hAnsi="Palatino Linotype" w:cs="Tahoma"/>
          <w:b/>
          <w:caps/>
        </w:rPr>
        <w:t>.</w:t>
      </w:r>
    </w:p>
    <w:p w:rsidR="001A3973" w:rsidRPr="003424F7" w:rsidRDefault="001A3973" w:rsidP="001A3973">
      <w:pPr>
        <w:tabs>
          <w:tab w:val="left" w:pos="1843"/>
        </w:tabs>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w:t>
      </w:r>
      <w:r w:rsidRPr="00C56B73">
        <w:rPr>
          <w:rFonts w:ascii="Palatino Linotype" w:hAnsi="Palatino Linotype" w:cs="Tahoma"/>
        </w:rPr>
        <w:t xml:space="preserve">México y Municipios, emito el presente </w:t>
      </w:r>
      <w:r w:rsidRPr="00C56B73">
        <w:rPr>
          <w:rFonts w:ascii="Palatino Linotype" w:hAnsi="Palatino Linotype" w:cs="Tahoma"/>
          <w:b/>
        </w:rPr>
        <w:t>Voto Particular</w:t>
      </w:r>
      <w:r w:rsidRPr="00C56B73">
        <w:rPr>
          <w:rFonts w:ascii="Palatino Linotype" w:hAnsi="Palatino Linotype" w:cs="Tahoma"/>
        </w:rPr>
        <w:t xml:space="preserve"> por no compartir en su totalidad las consideraciones que sustentan la Resolución del Recurso de Revisión </w:t>
      </w:r>
      <w:r w:rsidR="00A742D1" w:rsidRPr="00C56B73">
        <w:rPr>
          <w:rFonts w:ascii="Palatino Linotype" w:hAnsi="Palatino Linotype" w:cs="Tahoma"/>
        </w:rPr>
        <w:t>0</w:t>
      </w:r>
      <w:r w:rsidR="00C56B73" w:rsidRPr="00C56B73">
        <w:rPr>
          <w:rFonts w:ascii="Palatino Linotype" w:hAnsi="Palatino Linotype" w:cs="Tahoma"/>
        </w:rPr>
        <w:t>4</w:t>
      </w:r>
      <w:r w:rsidR="009855BE">
        <w:rPr>
          <w:rFonts w:ascii="Palatino Linotype" w:hAnsi="Palatino Linotype" w:cs="Tahoma"/>
        </w:rPr>
        <w:t>580</w:t>
      </w:r>
      <w:r w:rsidR="00A742D1" w:rsidRPr="00C56B73">
        <w:rPr>
          <w:rFonts w:ascii="Palatino Linotype" w:hAnsi="Palatino Linotype" w:cs="Tahoma"/>
        </w:rPr>
        <w:t>/INFOEM/IP/RR/</w:t>
      </w:r>
      <w:r w:rsidR="00104333" w:rsidRPr="00C56B73">
        <w:rPr>
          <w:rFonts w:ascii="Palatino Linotype" w:hAnsi="Palatino Linotype" w:cs="Tahoma"/>
        </w:rPr>
        <w:t>2018</w:t>
      </w:r>
      <w:r w:rsidR="001A3973" w:rsidRPr="00C56B73">
        <w:rPr>
          <w:rFonts w:ascii="Palatino Linotype" w:hAnsi="Palatino Linotype" w:cs="Tahoma"/>
        </w:rPr>
        <w:t>.</w:t>
      </w:r>
      <w:r w:rsidR="001A3973">
        <w:rPr>
          <w:rFonts w:ascii="Palatino Linotype" w:hAnsi="Palatino Linotype" w:cs="Tahoma"/>
        </w:rPr>
        <w:t xml:space="preserve"> </w:t>
      </w:r>
    </w:p>
    <w:p w:rsidR="009E0861" w:rsidRPr="003424F7" w:rsidRDefault="009E0861" w:rsidP="00D62C09">
      <w:pPr>
        <w:spacing w:after="0" w:line="360" w:lineRule="auto"/>
        <w:jc w:val="both"/>
        <w:rPr>
          <w:rFonts w:ascii="Palatino Linotype" w:hAnsi="Palatino Linotype" w:cs="Tahoma"/>
        </w:rPr>
      </w:pPr>
    </w:p>
    <w:p w:rsidR="00EA2363" w:rsidRDefault="00EA7E26" w:rsidP="000C7FD1">
      <w:pPr>
        <w:spacing w:after="0" w:line="360" w:lineRule="auto"/>
        <w:jc w:val="both"/>
        <w:rPr>
          <w:rFonts w:ascii="Palatino Linotype" w:hAnsi="Palatino Linotype" w:cs="Tahoma"/>
        </w:rPr>
      </w:pPr>
      <w:r w:rsidRPr="003424F7">
        <w:rPr>
          <w:rFonts w:ascii="Palatino Linotype" w:hAnsi="Palatino Linotype" w:cs="Tahoma"/>
        </w:rPr>
        <w:t>C</w:t>
      </w:r>
      <w:r w:rsidR="009E0861" w:rsidRPr="003424F7">
        <w:rPr>
          <w:rFonts w:ascii="Palatino Linotype" w:hAnsi="Palatino Linotype" w:cs="Tahoma"/>
        </w:rPr>
        <w:t xml:space="preserve">omo se desprende de la </w:t>
      </w:r>
      <w:r w:rsidR="004E2E30">
        <w:rPr>
          <w:rFonts w:ascii="Palatino Linotype" w:hAnsi="Palatino Linotype" w:cs="Tahoma"/>
        </w:rPr>
        <w:t>R</w:t>
      </w:r>
      <w:r w:rsidR="009E0861" w:rsidRPr="003424F7">
        <w:rPr>
          <w:rFonts w:ascii="Palatino Linotype" w:hAnsi="Palatino Linotype" w:cs="Tahoma"/>
        </w:rPr>
        <w:t xml:space="preserve">esolución </w:t>
      </w:r>
      <w:r w:rsidRPr="003424F7">
        <w:rPr>
          <w:rFonts w:ascii="Palatino Linotype" w:hAnsi="Palatino Linotype" w:cs="Tahoma"/>
        </w:rPr>
        <w:t>que nos ocupa</w:t>
      </w:r>
      <w:r w:rsidR="001A3973">
        <w:rPr>
          <w:rFonts w:ascii="Palatino Linotype" w:hAnsi="Palatino Linotype" w:cs="Tahoma"/>
        </w:rPr>
        <w:t xml:space="preserve">, </w:t>
      </w:r>
      <w:r w:rsidR="00C56B73">
        <w:rPr>
          <w:rFonts w:ascii="Palatino Linotype" w:hAnsi="Palatino Linotype" w:cs="Tahoma"/>
        </w:rPr>
        <w:t>el</w:t>
      </w:r>
      <w:r w:rsidR="00627F2B" w:rsidRPr="003424F7">
        <w:rPr>
          <w:rFonts w:ascii="Palatino Linotype" w:hAnsi="Palatino Linotype" w:cs="Tahoma"/>
        </w:rPr>
        <w:t xml:space="preserve"> entonces solicitante requirió</w:t>
      </w:r>
      <w:r w:rsidR="00EA2363">
        <w:rPr>
          <w:rFonts w:ascii="Palatino Linotype" w:hAnsi="Palatino Linotype" w:cs="Tahoma"/>
        </w:rPr>
        <w:t>:</w:t>
      </w:r>
    </w:p>
    <w:p w:rsidR="00C56B73" w:rsidRPr="00DA0224" w:rsidRDefault="00EA2363" w:rsidP="000C7FD1">
      <w:pPr>
        <w:spacing w:after="0" w:line="360" w:lineRule="auto"/>
        <w:jc w:val="both"/>
        <w:rPr>
          <w:rFonts w:ascii="Palatino Linotype" w:hAnsi="Palatino Linotype" w:cs="Tahoma"/>
          <w:sz w:val="20"/>
          <w:szCs w:val="20"/>
        </w:rPr>
      </w:pPr>
      <w:r w:rsidRPr="00CC10B4">
        <w:rPr>
          <w:rFonts w:ascii="Palatino Linotype" w:hAnsi="Palatino Linotype" w:cs="Tahoma"/>
          <w:sz w:val="10"/>
          <w:szCs w:val="10"/>
        </w:rPr>
        <w:t xml:space="preserve"> </w:t>
      </w:r>
    </w:p>
    <w:p w:rsidR="001A3973" w:rsidRDefault="009855BE" w:rsidP="009855BE">
      <w:pPr>
        <w:spacing w:after="0" w:line="360" w:lineRule="auto"/>
        <w:ind w:left="567" w:right="567"/>
        <w:jc w:val="both"/>
        <w:rPr>
          <w:rFonts w:ascii="Palatino Linotype" w:hAnsi="Palatino Linotype" w:cs="Tahoma"/>
          <w:sz w:val="20"/>
          <w:szCs w:val="20"/>
        </w:rPr>
      </w:pPr>
      <w:r w:rsidRPr="009855BE">
        <w:rPr>
          <w:rFonts w:ascii="Palatino Linotype" w:hAnsi="Palatino Linotype" w:cs="Tahoma"/>
          <w:sz w:val="20"/>
          <w:szCs w:val="20"/>
        </w:rPr>
        <w:t>“Solicito los talones de pago del servidor publico ULISES ARTURO ESPINOSA ESTRADA, entregados durante 2018, incluyendo su aguinaldo” (</w:t>
      </w:r>
      <w:r w:rsidRPr="00050472">
        <w:rPr>
          <w:rFonts w:ascii="Palatino Linotype" w:hAnsi="Palatino Linotype" w:cs="Tahoma"/>
          <w:i/>
          <w:sz w:val="20"/>
          <w:szCs w:val="20"/>
        </w:rPr>
        <w:t>Sic</w:t>
      </w:r>
      <w:r w:rsidR="00050472">
        <w:rPr>
          <w:rFonts w:ascii="Palatino Linotype" w:hAnsi="Palatino Linotype" w:cs="Tahoma"/>
          <w:sz w:val="20"/>
          <w:szCs w:val="20"/>
        </w:rPr>
        <w:t>.</w:t>
      </w:r>
      <w:r w:rsidRPr="009855BE">
        <w:rPr>
          <w:rFonts w:ascii="Palatino Linotype" w:hAnsi="Palatino Linotype" w:cs="Tahoma"/>
          <w:sz w:val="20"/>
          <w:szCs w:val="20"/>
        </w:rPr>
        <w:t>)</w:t>
      </w:r>
    </w:p>
    <w:p w:rsidR="009855BE" w:rsidRPr="00C56B73" w:rsidRDefault="009855BE" w:rsidP="00C56B73">
      <w:pPr>
        <w:spacing w:after="0" w:line="360" w:lineRule="auto"/>
        <w:ind w:right="616"/>
        <w:jc w:val="both"/>
        <w:rPr>
          <w:rFonts w:ascii="Palatino Linotype" w:eastAsia="Arial Unicode MS" w:hAnsi="Palatino Linotype" w:cs="Tahoma"/>
          <w:i/>
        </w:rPr>
      </w:pPr>
    </w:p>
    <w:p w:rsidR="005B0288" w:rsidRDefault="00C56B73" w:rsidP="00D62C09">
      <w:pPr>
        <w:spacing w:after="0" w:line="360" w:lineRule="auto"/>
        <w:jc w:val="both"/>
        <w:rPr>
          <w:rFonts w:ascii="Palatino Linotype" w:eastAsia="Arial Unicode MS" w:hAnsi="Palatino Linotype" w:cs="Tahoma"/>
        </w:rPr>
      </w:pPr>
      <w:r w:rsidRPr="00C56B73">
        <w:rPr>
          <w:rFonts w:ascii="Palatino Linotype" w:eastAsia="Arial Unicode MS" w:hAnsi="Palatino Linotype" w:cs="Tahoma"/>
        </w:rPr>
        <w:t>A</w:t>
      </w:r>
      <w:r>
        <w:rPr>
          <w:rFonts w:ascii="Palatino Linotype" w:eastAsia="Arial Unicode MS" w:hAnsi="Palatino Linotype" w:cs="Tahoma"/>
        </w:rPr>
        <w:t xml:space="preserve">nte la respuesta del Sujeto Obligado de no entregar los documentos </w:t>
      </w:r>
      <w:r w:rsidR="00706373">
        <w:rPr>
          <w:rFonts w:ascii="Palatino Linotype" w:eastAsia="Arial Unicode MS" w:hAnsi="Palatino Linotype" w:cs="Tahoma"/>
        </w:rPr>
        <w:t>consistentes en los talones de pago</w:t>
      </w:r>
      <w:r>
        <w:rPr>
          <w:rFonts w:ascii="Palatino Linotype" w:eastAsia="Arial Unicode MS" w:hAnsi="Palatino Linotype" w:cs="Tahoma"/>
        </w:rPr>
        <w:t xml:space="preserve"> solicitado</w:t>
      </w:r>
      <w:r w:rsidR="00706373">
        <w:rPr>
          <w:rFonts w:ascii="Palatino Linotype" w:eastAsia="Arial Unicode MS" w:hAnsi="Palatino Linotype" w:cs="Tahoma"/>
        </w:rPr>
        <w:t>s</w:t>
      </w:r>
      <w:r>
        <w:rPr>
          <w:rFonts w:ascii="Palatino Linotype" w:eastAsia="Arial Unicode MS" w:hAnsi="Palatino Linotype" w:cs="Tahoma"/>
        </w:rPr>
        <w:t xml:space="preserve">, mediante un análisis detallado </w:t>
      </w:r>
      <w:r w:rsidR="001C3F2E">
        <w:rPr>
          <w:rFonts w:ascii="Palatino Linotype" w:eastAsia="Arial Unicode MS" w:hAnsi="Palatino Linotype" w:cs="Tahoma"/>
        </w:rPr>
        <w:t>la Ponencia Resolutora determinó</w:t>
      </w:r>
      <w:r>
        <w:rPr>
          <w:rFonts w:ascii="Palatino Linotype" w:eastAsia="Arial Unicode MS" w:hAnsi="Palatino Linotype" w:cs="Tahoma"/>
        </w:rPr>
        <w:t xml:space="preserve"> ordenar la entrega de los documentos</w:t>
      </w:r>
      <w:r w:rsidR="001C3F2E">
        <w:rPr>
          <w:rFonts w:ascii="Palatino Linotype" w:eastAsia="Arial Unicode MS" w:hAnsi="Palatino Linotype" w:cs="Tahoma"/>
        </w:rPr>
        <w:t xml:space="preserve">, </w:t>
      </w:r>
      <w:r>
        <w:rPr>
          <w:rFonts w:ascii="Palatino Linotype" w:eastAsia="Arial Unicode MS" w:hAnsi="Palatino Linotype" w:cs="Tahoma"/>
        </w:rPr>
        <w:t xml:space="preserve">en versión pública, con su respectivo acuerdo del Comité de Transparencia; sin embargo, el punto que no se comparte versa únicamente sobre la instrucción de los términos en los que se debe hacer la versión pública; esto es, </w:t>
      </w:r>
      <w:r w:rsidR="005B0288">
        <w:rPr>
          <w:rFonts w:ascii="Palatino Linotype" w:eastAsia="Arial Unicode MS" w:hAnsi="Palatino Linotype" w:cs="Tahoma"/>
        </w:rPr>
        <w:t>eliminando de l</w:t>
      </w:r>
      <w:r w:rsidR="00BB1571">
        <w:rPr>
          <w:rFonts w:ascii="Palatino Linotype" w:eastAsia="Arial Unicode MS" w:hAnsi="Palatino Linotype" w:cs="Tahoma"/>
        </w:rPr>
        <w:t>o</w:t>
      </w:r>
      <w:r w:rsidR="005B0288">
        <w:rPr>
          <w:rFonts w:ascii="Palatino Linotype" w:eastAsia="Arial Unicode MS" w:hAnsi="Palatino Linotype" w:cs="Tahoma"/>
        </w:rPr>
        <w:t xml:space="preserve">s </w:t>
      </w:r>
      <w:r w:rsidR="00BB1571">
        <w:rPr>
          <w:rFonts w:ascii="Palatino Linotype" w:eastAsia="Arial Unicode MS" w:hAnsi="Palatino Linotype" w:cs="Tahoma"/>
        </w:rPr>
        <w:t xml:space="preserve">recibos de nómina las </w:t>
      </w:r>
      <w:r w:rsidR="005B0288">
        <w:rPr>
          <w:rFonts w:ascii="Palatino Linotype" w:eastAsia="Arial Unicode MS" w:hAnsi="Palatino Linotype" w:cs="Tahoma"/>
        </w:rPr>
        <w:t>cadenas originales, en virtud de lo siguiente:</w:t>
      </w:r>
    </w:p>
    <w:p w:rsidR="005B0288" w:rsidRPr="00CC10B4" w:rsidRDefault="005B0288" w:rsidP="00D62C09">
      <w:pPr>
        <w:spacing w:after="0" w:line="360" w:lineRule="auto"/>
        <w:jc w:val="both"/>
        <w:rPr>
          <w:rFonts w:ascii="Palatino Linotype" w:eastAsia="Arial Unicode MS" w:hAnsi="Palatino Linotype" w:cs="Tahoma"/>
          <w:sz w:val="10"/>
          <w:szCs w:val="10"/>
        </w:rPr>
      </w:pPr>
    </w:p>
    <w:p w:rsidR="00DA0224" w:rsidRDefault="00DA0224" w:rsidP="001C3F2E">
      <w:pPr>
        <w:pStyle w:val="Sinespaciado"/>
        <w:spacing w:line="360" w:lineRule="auto"/>
        <w:ind w:left="567" w:right="567"/>
        <w:jc w:val="both"/>
        <w:rPr>
          <w:rFonts w:ascii="Palatino Linotype" w:eastAsia="Arial Unicode MS" w:hAnsi="Palatino Linotype"/>
          <w:sz w:val="20"/>
          <w:szCs w:val="20"/>
        </w:rPr>
      </w:pPr>
    </w:p>
    <w:p w:rsidR="001C3F2E" w:rsidRPr="001C3F2E" w:rsidRDefault="001C3F2E" w:rsidP="001C3F2E">
      <w:pPr>
        <w:pStyle w:val="Sinespaciado"/>
        <w:spacing w:line="360" w:lineRule="auto"/>
        <w:ind w:left="567" w:right="567"/>
        <w:jc w:val="both"/>
        <w:rPr>
          <w:sz w:val="20"/>
          <w:szCs w:val="20"/>
        </w:rPr>
      </w:pPr>
      <w:r w:rsidRPr="001C3F2E">
        <w:rPr>
          <w:rFonts w:ascii="Palatino Linotype" w:eastAsia="Arial Unicode MS" w:hAnsi="Palatino Linotype"/>
          <w:sz w:val="20"/>
          <w:szCs w:val="20"/>
        </w:rPr>
        <w:t xml:space="preserve">Al respecto, </w:t>
      </w:r>
      <w:r w:rsidRPr="001C3F2E">
        <w:rPr>
          <w:rFonts w:ascii="Palatino Linotype" w:hAnsi="Palatino Linotype"/>
          <w:sz w:val="20"/>
          <w:szCs w:val="20"/>
        </w:rPr>
        <w:t xml:space="preserve">las </w:t>
      </w:r>
      <w:r w:rsidRPr="001C3F2E">
        <w:rPr>
          <w:rFonts w:ascii="Palatino Linotype" w:hAnsi="Palatino Linotype"/>
          <w:b/>
          <w:sz w:val="20"/>
          <w:szCs w:val="20"/>
        </w:rPr>
        <w:t xml:space="preserve">Cadenas Originales </w:t>
      </w:r>
      <w:r w:rsidRPr="001C3F2E">
        <w:rPr>
          <w:rFonts w:ascii="Palatino Linotype" w:hAnsi="Palatino Linotype"/>
          <w:sz w:val="20"/>
          <w:szCs w:val="20"/>
        </w:rPr>
        <w:t xml:space="preserve">y </w:t>
      </w:r>
      <w:r w:rsidRPr="001C3F2E">
        <w:rPr>
          <w:rFonts w:ascii="Palatino Linotype" w:hAnsi="Palatino Linotype"/>
          <w:b/>
          <w:sz w:val="20"/>
          <w:szCs w:val="20"/>
        </w:rPr>
        <w:t>Sellos</w:t>
      </w:r>
      <w:r w:rsidRPr="001C3F2E">
        <w:rPr>
          <w:rFonts w:ascii="Palatino Linotype" w:hAnsi="Palatino Linotype"/>
          <w:sz w:val="20"/>
          <w:szCs w:val="20"/>
        </w:rPr>
        <w:t xml:space="preserve"> </w:t>
      </w:r>
      <w:r w:rsidRPr="001C3F2E">
        <w:rPr>
          <w:rFonts w:ascii="Palatino Linotype" w:hAnsi="Palatino Linotype"/>
          <w:b/>
          <w:sz w:val="20"/>
          <w:szCs w:val="20"/>
        </w:rPr>
        <w:t>Digitales</w:t>
      </w:r>
      <w:r w:rsidRPr="001C3F2E">
        <w:rPr>
          <w:rFonts w:ascii="Palatino Linotype" w:hAnsi="Palatino Linotype"/>
          <w:sz w:val="20"/>
          <w:szCs w:val="20"/>
        </w:rPr>
        <w:t xml:space="preserve">, éstos forman parte del </w:t>
      </w:r>
      <w:r w:rsidRPr="001C3F2E">
        <w:rPr>
          <w:rFonts w:ascii="Palatino Linotype" w:hAnsi="Palatino Linotype"/>
          <w:sz w:val="20"/>
          <w:szCs w:val="20"/>
          <w:lang w:val="es-ES_tradnl"/>
        </w:rPr>
        <w:t xml:space="preserve">certificado de sello digital, los cuales </w:t>
      </w:r>
      <w:r w:rsidRPr="001C3F2E">
        <w:rPr>
          <w:rFonts w:ascii="Palatino Linotype" w:hAnsi="Palatino Linotype"/>
          <w:sz w:val="20"/>
          <w:szCs w:val="20"/>
        </w:rPr>
        <w:t xml:space="preserve">son documentos electrónicos, mismos que de conformidad con el artículo 17-G y 29 del Código Fiscal de la Federación le permiten a la autoridad hacendaria federal garantizar una </w:t>
      </w:r>
      <w:r w:rsidRPr="001C3F2E">
        <w:rPr>
          <w:rFonts w:ascii="Palatino Linotype" w:hAnsi="Palatino Linotype"/>
          <w:b/>
          <w:sz w:val="20"/>
          <w:szCs w:val="20"/>
          <w:u w:val="single"/>
        </w:rPr>
        <w:t xml:space="preserve">vinculación </w:t>
      </w:r>
      <w:r w:rsidRPr="001C3F2E">
        <w:rPr>
          <w:rFonts w:ascii="Palatino Linotype" w:hAnsi="Palatino Linotype"/>
          <w:sz w:val="20"/>
          <w:szCs w:val="20"/>
        </w:rPr>
        <w:t xml:space="preserve">entre la </w:t>
      </w:r>
      <w:r w:rsidRPr="001C3F2E">
        <w:rPr>
          <w:rFonts w:ascii="Palatino Linotype" w:hAnsi="Palatino Linotype"/>
          <w:b/>
          <w:sz w:val="20"/>
          <w:szCs w:val="20"/>
          <w:u w:val="single"/>
        </w:rPr>
        <w:t>identidad de un sujeto o entidad</w:t>
      </w:r>
      <w:r w:rsidRPr="001C3F2E">
        <w:rPr>
          <w:rFonts w:ascii="Palatino Linotype" w:hAnsi="Palatino Linotype"/>
          <w:sz w:val="20"/>
          <w:szCs w:val="20"/>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rsidR="001C3F2E" w:rsidRPr="001C3F2E" w:rsidRDefault="001C3F2E" w:rsidP="001C3F2E">
      <w:pPr>
        <w:spacing w:before="100" w:after="100" w:line="276" w:lineRule="auto"/>
        <w:ind w:left="567" w:right="567"/>
        <w:jc w:val="both"/>
        <w:rPr>
          <w:rFonts w:ascii="Palatino Linotype" w:hAnsi="Palatino Linotype" w:cs="Arial"/>
          <w:bCs/>
          <w:noProof/>
          <w:sz w:val="20"/>
          <w:szCs w:val="20"/>
        </w:rPr>
      </w:pPr>
    </w:p>
    <w:p w:rsidR="001C3F2E" w:rsidRPr="001C3F2E" w:rsidRDefault="001C3F2E" w:rsidP="001C3F2E">
      <w:pPr>
        <w:spacing w:before="100" w:after="100" w:line="276" w:lineRule="auto"/>
        <w:ind w:left="1134" w:right="1134"/>
        <w:jc w:val="both"/>
        <w:rPr>
          <w:rFonts w:ascii="Palatino Linotype" w:hAnsi="Palatino Linotype" w:cs="Arial"/>
          <w:bCs/>
          <w:i/>
          <w:noProof/>
          <w:sz w:val="20"/>
          <w:szCs w:val="20"/>
        </w:rPr>
      </w:pPr>
      <w:r w:rsidRPr="001C3F2E">
        <w:rPr>
          <w:rFonts w:ascii="Palatino Linotype" w:hAnsi="Palatino Linotype" w:cs="Arial"/>
          <w:b/>
          <w:bCs/>
          <w:noProof/>
          <w:sz w:val="20"/>
          <w:szCs w:val="20"/>
        </w:rPr>
        <w:t>Artículo 17-G</w:t>
      </w:r>
      <w:r w:rsidRPr="001C3F2E">
        <w:rPr>
          <w:rFonts w:ascii="Palatino Linotype" w:hAnsi="Palatino Linotype" w:cs="Arial"/>
          <w:bCs/>
          <w:i/>
          <w:noProof/>
          <w:sz w:val="20"/>
          <w:szCs w:val="20"/>
        </w:rPr>
        <w:t xml:space="preserve">.- </w:t>
      </w:r>
      <w:r w:rsidRPr="001C3F2E">
        <w:rPr>
          <w:rFonts w:ascii="Palatino Linotype" w:hAnsi="Palatino Linotype" w:cs="Arial"/>
          <w:b/>
          <w:bCs/>
          <w:i/>
          <w:noProof/>
          <w:sz w:val="20"/>
          <w:szCs w:val="20"/>
          <w:u w:val="single"/>
        </w:rPr>
        <w:t>Los certificados que emita el Servicio de Administración Tributaria para ser considerados válidos deberán contener los datos siguientes</w:t>
      </w:r>
      <w:r w:rsidRPr="001C3F2E">
        <w:rPr>
          <w:rFonts w:ascii="Palatino Linotype" w:hAnsi="Palatino Linotype" w:cs="Arial"/>
          <w:bCs/>
          <w:i/>
          <w:noProof/>
          <w:sz w:val="20"/>
          <w:szCs w:val="20"/>
        </w:rPr>
        <w:t xml:space="preserve">: </w:t>
      </w:r>
    </w:p>
    <w:p w:rsidR="001C3F2E" w:rsidRPr="001C3F2E" w:rsidRDefault="001C3F2E" w:rsidP="001C3F2E">
      <w:pPr>
        <w:pStyle w:val="Prrafodelista"/>
        <w:numPr>
          <w:ilvl w:val="0"/>
          <w:numId w:val="18"/>
        </w:numPr>
        <w:spacing w:before="100" w:after="100" w:line="276" w:lineRule="auto"/>
        <w:ind w:left="1134" w:right="1134" w:hanging="571"/>
        <w:contextualSpacing w:val="0"/>
        <w:jc w:val="both"/>
        <w:rPr>
          <w:rFonts w:ascii="Palatino Linotype" w:hAnsi="Palatino Linotype" w:cs="Arial"/>
          <w:bCs/>
          <w:i/>
          <w:noProof/>
          <w:sz w:val="20"/>
          <w:szCs w:val="20"/>
        </w:rPr>
      </w:pPr>
      <w:r w:rsidRPr="001C3F2E">
        <w:rPr>
          <w:rFonts w:ascii="Palatino Linotype" w:hAnsi="Palatino Linotype" w:cs="Arial"/>
          <w:b/>
          <w:bCs/>
          <w:i/>
          <w:noProof/>
          <w:sz w:val="20"/>
          <w:szCs w:val="20"/>
          <w:u w:val="single"/>
        </w:rPr>
        <w:t>La mención de que se expiden como tales</w:t>
      </w:r>
      <w:r w:rsidRPr="001C3F2E">
        <w:rPr>
          <w:rFonts w:ascii="Palatino Linotype" w:hAnsi="Palatino Linotype" w:cs="Arial"/>
          <w:bCs/>
          <w:i/>
          <w:noProof/>
          <w:sz w:val="20"/>
          <w:szCs w:val="20"/>
        </w:rPr>
        <w:t xml:space="preserve">. </w:t>
      </w:r>
      <w:r w:rsidRPr="001C3F2E">
        <w:rPr>
          <w:rFonts w:ascii="Palatino Linotype" w:hAnsi="Palatino Linotype" w:cs="Arial"/>
          <w:b/>
          <w:bCs/>
          <w:i/>
          <w:noProof/>
          <w:sz w:val="20"/>
          <w:szCs w:val="20"/>
          <w:u w:val="single"/>
        </w:rPr>
        <w:t>Tratándose de certificados de sellos digitales, se deberán especificar las limitantes que tengan para su uso</w:t>
      </w:r>
      <w:r w:rsidRPr="001C3F2E">
        <w:rPr>
          <w:rFonts w:ascii="Palatino Linotype" w:hAnsi="Palatino Linotype" w:cs="Arial"/>
          <w:bCs/>
          <w:i/>
          <w:noProof/>
          <w:sz w:val="20"/>
          <w:szCs w:val="20"/>
        </w:rPr>
        <w:t>.</w:t>
      </w:r>
    </w:p>
    <w:p w:rsidR="001C3F2E" w:rsidRPr="001C3F2E" w:rsidRDefault="001C3F2E" w:rsidP="001C3F2E">
      <w:pPr>
        <w:pStyle w:val="Prrafodelista"/>
        <w:spacing w:before="100" w:after="100" w:line="276" w:lineRule="auto"/>
        <w:ind w:left="1134" w:right="1134"/>
        <w:jc w:val="both"/>
        <w:rPr>
          <w:rFonts w:ascii="Palatino Linotype" w:hAnsi="Palatino Linotype" w:cs="Arial"/>
          <w:bCs/>
          <w:i/>
          <w:noProof/>
          <w:sz w:val="20"/>
          <w:szCs w:val="20"/>
        </w:rPr>
      </w:pPr>
    </w:p>
    <w:p w:rsidR="001C3F2E" w:rsidRPr="001C3F2E" w:rsidRDefault="001C3F2E" w:rsidP="001C3F2E">
      <w:pPr>
        <w:spacing w:before="100" w:after="100" w:line="276" w:lineRule="auto"/>
        <w:ind w:left="1134" w:right="1134"/>
        <w:jc w:val="both"/>
        <w:rPr>
          <w:rFonts w:ascii="Palatino Linotype" w:hAnsi="Palatino Linotype" w:cs="Arial"/>
          <w:bCs/>
          <w:i/>
          <w:noProof/>
          <w:sz w:val="20"/>
          <w:szCs w:val="20"/>
        </w:rPr>
      </w:pPr>
      <w:r w:rsidRPr="001C3F2E">
        <w:rPr>
          <w:rFonts w:ascii="Palatino Linotype" w:hAnsi="Palatino Linotype" w:cs="Arial"/>
          <w:b/>
          <w:bCs/>
          <w:i/>
          <w:noProof/>
          <w:sz w:val="20"/>
          <w:szCs w:val="20"/>
          <w:u w:val="single"/>
        </w:rPr>
        <w:t>Artículo 29. Cuando las leyes fiscales establezcan la obligación de expedir comprobantes fiscales por los actos o actividades que realicen</w:t>
      </w:r>
      <w:r w:rsidRPr="001C3F2E">
        <w:rPr>
          <w:rFonts w:ascii="Palatino Linotype" w:hAnsi="Palatino Linotype" w:cs="Arial"/>
          <w:bCs/>
          <w:i/>
          <w:noProof/>
          <w:sz w:val="20"/>
          <w:szCs w:val="20"/>
        </w:rPr>
        <w:t xml:space="preserve">, por los ingresos que se perciban o por las retenciones de contribuciones que efectúen, </w:t>
      </w:r>
      <w:r w:rsidRPr="001C3F2E">
        <w:rPr>
          <w:rFonts w:ascii="Palatino Linotype" w:hAnsi="Palatino Linotype" w:cs="Arial"/>
          <w:b/>
          <w:bCs/>
          <w:i/>
          <w:noProof/>
          <w:sz w:val="20"/>
          <w:szCs w:val="20"/>
          <w:u w:val="single"/>
        </w:rPr>
        <w:t>los contribuyentes deberán emitirlos mediante documentos digitales</w:t>
      </w:r>
      <w:r w:rsidRPr="001C3F2E">
        <w:rPr>
          <w:rFonts w:ascii="Palatino Linotype" w:hAnsi="Palatino Linotype" w:cs="Arial"/>
          <w:bCs/>
          <w:i/>
          <w:noProof/>
          <w:sz w:val="20"/>
          <w:szCs w:val="20"/>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1C3F2E" w:rsidRPr="001C3F2E" w:rsidRDefault="001C3F2E" w:rsidP="001C3F2E">
      <w:pPr>
        <w:spacing w:before="100" w:after="100" w:line="276" w:lineRule="auto"/>
        <w:ind w:left="1134" w:right="1134"/>
        <w:jc w:val="both"/>
        <w:rPr>
          <w:rFonts w:ascii="Palatino Linotype" w:hAnsi="Palatino Linotype" w:cs="Arial"/>
          <w:bCs/>
          <w:i/>
          <w:noProof/>
          <w:sz w:val="20"/>
          <w:szCs w:val="20"/>
        </w:rPr>
      </w:pPr>
      <w:r w:rsidRPr="001C3F2E">
        <w:rPr>
          <w:rFonts w:ascii="Palatino Linotype" w:hAnsi="Palatino Linotype" w:cs="Arial"/>
          <w:b/>
          <w:bCs/>
          <w:i/>
          <w:noProof/>
          <w:sz w:val="20"/>
          <w:szCs w:val="20"/>
          <w:u w:val="single"/>
        </w:rPr>
        <w:t>Los contribuyentes a que se refiere el párrafo anterior deberán cumplir con las obligaciones siguientes</w:t>
      </w:r>
      <w:r w:rsidRPr="001C3F2E">
        <w:rPr>
          <w:rFonts w:ascii="Palatino Linotype" w:hAnsi="Palatino Linotype" w:cs="Arial"/>
          <w:bCs/>
          <w:i/>
          <w:noProof/>
          <w:sz w:val="20"/>
          <w:szCs w:val="20"/>
        </w:rPr>
        <w:t>:</w:t>
      </w:r>
    </w:p>
    <w:p w:rsidR="001C3F2E" w:rsidRPr="001C3F2E" w:rsidRDefault="001C3F2E" w:rsidP="001C3F2E">
      <w:pPr>
        <w:spacing w:before="100" w:after="100" w:line="276" w:lineRule="auto"/>
        <w:ind w:left="1134" w:right="1134" w:hanging="567"/>
        <w:jc w:val="both"/>
        <w:rPr>
          <w:rFonts w:ascii="Palatino Linotype" w:hAnsi="Palatino Linotype" w:cs="Arial"/>
          <w:bCs/>
          <w:i/>
          <w:noProof/>
          <w:sz w:val="20"/>
          <w:szCs w:val="20"/>
        </w:rPr>
      </w:pPr>
      <w:r w:rsidRPr="001C3F2E">
        <w:rPr>
          <w:rFonts w:ascii="Palatino Linotype" w:hAnsi="Palatino Linotype" w:cs="Arial"/>
          <w:bCs/>
          <w:i/>
          <w:noProof/>
          <w:sz w:val="20"/>
          <w:szCs w:val="20"/>
        </w:rPr>
        <w:t xml:space="preserve">I. </w:t>
      </w:r>
      <w:r w:rsidRPr="001C3F2E">
        <w:rPr>
          <w:rFonts w:ascii="Palatino Linotype" w:hAnsi="Palatino Linotype" w:cs="Arial"/>
          <w:bCs/>
          <w:i/>
          <w:noProof/>
          <w:sz w:val="20"/>
          <w:szCs w:val="20"/>
        </w:rPr>
        <w:tab/>
        <w:t>…</w:t>
      </w:r>
    </w:p>
    <w:p w:rsidR="001C3F2E" w:rsidRPr="001C3F2E" w:rsidRDefault="001C3F2E" w:rsidP="001C3F2E">
      <w:pPr>
        <w:spacing w:before="100" w:after="100" w:line="276" w:lineRule="auto"/>
        <w:ind w:left="1134" w:right="1134" w:hanging="567"/>
        <w:jc w:val="both"/>
        <w:rPr>
          <w:rFonts w:ascii="Palatino Linotype" w:hAnsi="Palatino Linotype" w:cs="Arial"/>
          <w:bCs/>
          <w:i/>
          <w:noProof/>
          <w:sz w:val="20"/>
          <w:szCs w:val="20"/>
        </w:rPr>
      </w:pPr>
      <w:r w:rsidRPr="001C3F2E">
        <w:rPr>
          <w:rFonts w:ascii="Palatino Linotype" w:hAnsi="Palatino Linotype" w:cs="Arial"/>
          <w:bCs/>
          <w:i/>
          <w:noProof/>
          <w:sz w:val="20"/>
          <w:szCs w:val="20"/>
        </w:rPr>
        <w:t xml:space="preserve">II. </w:t>
      </w:r>
      <w:r w:rsidRPr="001C3F2E">
        <w:rPr>
          <w:rFonts w:ascii="Palatino Linotype" w:hAnsi="Palatino Linotype" w:cs="Arial"/>
          <w:bCs/>
          <w:i/>
          <w:noProof/>
          <w:sz w:val="20"/>
          <w:szCs w:val="20"/>
        </w:rPr>
        <w:tab/>
      </w:r>
      <w:r w:rsidRPr="001C3F2E">
        <w:rPr>
          <w:rFonts w:ascii="Palatino Linotype" w:hAnsi="Palatino Linotype" w:cs="Arial"/>
          <w:b/>
          <w:bCs/>
          <w:i/>
          <w:noProof/>
          <w:sz w:val="20"/>
          <w:szCs w:val="20"/>
          <w:u w:val="single"/>
        </w:rPr>
        <w:t>Tramitar ante el Servicio de Administración Tributaria el certificado para el uso de los sellos digitales</w:t>
      </w:r>
      <w:r w:rsidRPr="001C3F2E">
        <w:rPr>
          <w:rFonts w:ascii="Palatino Linotype" w:hAnsi="Palatino Linotype" w:cs="Arial"/>
          <w:bCs/>
          <w:i/>
          <w:noProof/>
          <w:sz w:val="20"/>
          <w:szCs w:val="20"/>
        </w:rPr>
        <w:t>.</w:t>
      </w:r>
    </w:p>
    <w:p w:rsidR="001C3F2E" w:rsidRPr="001C3F2E" w:rsidRDefault="001C3F2E" w:rsidP="001C3F2E">
      <w:pPr>
        <w:spacing w:before="100" w:after="100" w:line="276" w:lineRule="auto"/>
        <w:ind w:left="1134" w:right="1134"/>
        <w:jc w:val="both"/>
        <w:rPr>
          <w:rFonts w:ascii="Palatino Linotype" w:hAnsi="Palatino Linotype" w:cs="Arial"/>
          <w:bCs/>
          <w:i/>
          <w:noProof/>
          <w:sz w:val="20"/>
          <w:szCs w:val="20"/>
        </w:rPr>
      </w:pPr>
    </w:p>
    <w:p w:rsidR="00C56B73" w:rsidRPr="001C3F2E" w:rsidRDefault="001C3F2E" w:rsidP="001C3F2E">
      <w:pPr>
        <w:spacing w:before="100" w:after="100" w:line="276" w:lineRule="auto"/>
        <w:ind w:left="1134" w:right="1134"/>
        <w:jc w:val="both"/>
        <w:rPr>
          <w:rFonts w:ascii="Palatino Linotype" w:hAnsi="Palatino Linotype" w:cs="Arial"/>
          <w:sz w:val="20"/>
          <w:szCs w:val="20"/>
          <w:lang w:eastAsia="es-MX"/>
        </w:rPr>
      </w:pPr>
      <w:r w:rsidRPr="001C3F2E">
        <w:rPr>
          <w:rFonts w:ascii="Palatino Linotype" w:hAnsi="Palatino Linotype" w:cs="Arial"/>
          <w:bCs/>
          <w:i/>
          <w:noProof/>
          <w:sz w:val="20"/>
          <w:szCs w:val="20"/>
        </w:rPr>
        <w:t xml:space="preserve">Los contribuyentes podrán optar por el uso de uno o más certificados de sellos digitales que se utilizarán exclusivamente para la expedición de los comprobantes fiscales mediante documentos digitales. </w:t>
      </w:r>
      <w:r w:rsidRPr="001C3F2E">
        <w:rPr>
          <w:rFonts w:ascii="Palatino Linotype" w:hAnsi="Palatino Linotype" w:cs="Arial"/>
          <w:b/>
          <w:bCs/>
          <w:i/>
          <w:noProof/>
          <w:sz w:val="20"/>
          <w:szCs w:val="20"/>
          <w:u w:val="single"/>
        </w:rPr>
        <w:t>El sello digital permitirá acreditar la autoría de los comprobantes fiscales digitales</w:t>
      </w:r>
      <w:r w:rsidRPr="001C3F2E">
        <w:rPr>
          <w:rFonts w:ascii="Palatino Linotype" w:hAnsi="Palatino Linotype" w:cs="Arial"/>
          <w:bCs/>
          <w:i/>
          <w:noProof/>
          <w:sz w:val="20"/>
          <w:szCs w:val="20"/>
        </w:rPr>
        <w:t xml:space="preserve"> por Internet que expidan las personas físicas y morales, el cual queda sujeto a la regulación aplicable al uso de la firma electrónica avanzada.</w:t>
      </w:r>
    </w:p>
    <w:p w:rsidR="00C56B73" w:rsidRPr="00CC10B4" w:rsidRDefault="00C56B73" w:rsidP="00D62C09">
      <w:pPr>
        <w:spacing w:after="0" w:line="360" w:lineRule="auto"/>
        <w:jc w:val="both"/>
        <w:rPr>
          <w:rFonts w:ascii="Palatino Linotype" w:eastAsia="Arial Unicode MS" w:hAnsi="Palatino Linotype" w:cs="Tahoma"/>
          <w:sz w:val="10"/>
          <w:szCs w:val="10"/>
        </w:rPr>
      </w:pPr>
    </w:p>
    <w:p w:rsidR="00DA0224" w:rsidRDefault="00DA0224" w:rsidP="00D62C09">
      <w:pPr>
        <w:spacing w:after="0" w:line="360" w:lineRule="auto"/>
        <w:jc w:val="both"/>
        <w:rPr>
          <w:rFonts w:ascii="Palatino Linotype" w:eastAsia="Arial Unicode MS" w:hAnsi="Palatino Linotype" w:cs="Tahoma"/>
        </w:rPr>
      </w:pPr>
    </w:p>
    <w:p w:rsidR="001C3F2E" w:rsidRDefault="00D55306"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 xml:space="preserve">se emite el presente Voto Particular, dentro de la Resolución </w:t>
      </w:r>
      <w:r w:rsidR="00271A1E">
        <w:rPr>
          <w:rFonts w:ascii="Palatino Linotype" w:eastAsia="Arial Unicode MS" w:hAnsi="Palatino Linotype" w:cs="Tahoma"/>
        </w:rPr>
        <w:t xml:space="preserve">que </w:t>
      </w:r>
      <w:r w:rsidR="00C05CDF">
        <w:rPr>
          <w:rFonts w:ascii="Palatino Linotype" w:eastAsia="Arial Unicode MS" w:hAnsi="Palatino Linotype" w:cs="Tahoma"/>
        </w:rPr>
        <w:t xml:space="preserve">se analiza, </w:t>
      </w:r>
      <w:r w:rsidR="00BB1571">
        <w:rPr>
          <w:rFonts w:ascii="Palatino Linotype" w:eastAsia="Arial Unicode MS" w:hAnsi="Palatino Linotype" w:cs="Tahoma"/>
        </w:rPr>
        <w:t>toda vez</w:t>
      </w:r>
      <w:r w:rsidR="00C05CDF">
        <w:rPr>
          <w:rFonts w:ascii="Palatino Linotype" w:eastAsia="Arial Unicode MS" w:hAnsi="Palatino Linotype" w:cs="Tahoma"/>
        </w:rPr>
        <w:t xml:space="preserve"> </w:t>
      </w:r>
      <w:r w:rsidR="005139FC">
        <w:rPr>
          <w:rFonts w:ascii="Palatino Linotype" w:eastAsia="Arial Unicode MS" w:hAnsi="Palatino Linotype" w:cs="Tahoma"/>
        </w:rPr>
        <w:t>que</w:t>
      </w:r>
      <w:r w:rsidR="00BB1571">
        <w:rPr>
          <w:rFonts w:ascii="Palatino Linotype" w:eastAsia="Arial Unicode MS" w:hAnsi="Palatino Linotype" w:cs="Tahoma"/>
        </w:rPr>
        <w:t>,</w:t>
      </w:r>
      <w:r w:rsidR="005139FC">
        <w:rPr>
          <w:rFonts w:ascii="Palatino Linotype" w:eastAsia="Arial Unicode MS" w:hAnsi="Palatino Linotype" w:cs="Tahoma"/>
        </w:rPr>
        <w:t xml:space="preserve"> si bien, </w:t>
      </w:r>
      <w:r w:rsidR="00C05CDF">
        <w:rPr>
          <w:rFonts w:ascii="Palatino Linotype" w:eastAsia="Arial Unicode MS" w:hAnsi="Palatino Linotype" w:cs="Tahoma"/>
        </w:rPr>
        <w:t>consider</w:t>
      </w:r>
      <w:r w:rsidR="005139FC">
        <w:rPr>
          <w:rFonts w:ascii="Palatino Linotype" w:eastAsia="Arial Unicode MS" w:hAnsi="Palatino Linotype" w:cs="Tahoma"/>
        </w:rPr>
        <w:t>o</w:t>
      </w:r>
      <w:r w:rsidR="00C05CDF">
        <w:rPr>
          <w:rFonts w:ascii="Palatino Linotype" w:eastAsia="Arial Unicode MS" w:hAnsi="Palatino Linotype" w:cs="Tahoma"/>
        </w:rPr>
        <w:t xml:space="preserve"> que los documentos </w:t>
      </w:r>
      <w:r w:rsidR="005B0288">
        <w:rPr>
          <w:rFonts w:ascii="Palatino Linotype" w:eastAsia="Arial Unicode MS" w:hAnsi="Palatino Linotype" w:cs="Tahoma"/>
        </w:rPr>
        <w:t>deben ser entregados en versión pública</w:t>
      </w:r>
      <w:r w:rsidR="000117EA">
        <w:rPr>
          <w:rFonts w:ascii="Palatino Linotype" w:eastAsia="Arial Unicode MS" w:hAnsi="Palatino Linotype" w:cs="Tahoma"/>
        </w:rPr>
        <w:t>, en la que se eliminen los datos personales confidenciales</w:t>
      </w:r>
      <w:r w:rsidR="005139FC">
        <w:rPr>
          <w:rFonts w:ascii="Palatino Linotype" w:eastAsia="Arial Unicode MS" w:hAnsi="Palatino Linotype" w:cs="Tahoma"/>
        </w:rPr>
        <w:t xml:space="preserve"> las cadenas y sellos originales que aparecen en dichos documentos no contienen datos personales confidenciales </w:t>
      </w:r>
      <w:r w:rsidR="005B0288">
        <w:rPr>
          <w:rFonts w:ascii="Palatino Linotype" w:eastAsia="Arial Unicode MS" w:hAnsi="Palatino Linotype" w:cs="Tahoma"/>
        </w:rPr>
        <w:t>de los contribuyentes; como lo refiere la Ponencia Resolutora</w:t>
      </w:r>
      <w:r w:rsidR="001C3F2E">
        <w:rPr>
          <w:rFonts w:ascii="Palatino Linotype" w:eastAsia="Arial Unicode MS" w:hAnsi="Palatino Linotype" w:cs="Tahoma"/>
        </w:rPr>
        <w:t>, de acuerdo con lo siguiente:</w:t>
      </w:r>
    </w:p>
    <w:p w:rsidR="001C3F2E" w:rsidRDefault="001C3F2E" w:rsidP="00D62C09">
      <w:pPr>
        <w:spacing w:after="0" w:line="360" w:lineRule="auto"/>
        <w:jc w:val="both"/>
        <w:rPr>
          <w:rFonts w:ascii="Palatino Linotype" w:eastAsia="Arial Unicode MS" w:hAnsi="Palatino Linotype" w:cs="Tahoma"/>
        </w:rPr>
      </w:pPr>
    </w:p>
    <w:p w:rsidR="005139FC" w:rsidRDefault="008F4FFA"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S</w:t>
      </w:r>
      <w:r w:rsidR="005B0288">
        <w:rPr>
          <w:rFonts w:ascii="Palatino Linotype" w:eastAsia="Arial Unicode MS" w:hAnsi="Palatino Linotype" w:cs="Tahoma"/>
        </w:rPr>
        <w:t xml:space="preserve">i bien, </w:t>
      </w:r>
      <w:r w:rsidR="00BB1571">
        <w:rPr>
          <w:rFonts w:ascii="Palatino Linotype" w:eastAsia="Arial Unicode MS" w:hAnsi="Palatino Linotype" w:cs="Tahoma"/>
        </w:rPr>
        <w:t>los</w:t>
      </w:r>
      <w:r w:rsidR="005B0288">
        <w:rPr>
          <w:rFonts w:ascii="Palatino Linotype" w:eastAsia="Arial Unicode MS" w:hAnsi="Palatino Linotype" w:cs="Tahoma"/>
        </w:rPr>
        <w:t xml:space="preserve"> objetivos</w:t>
      </w:r>
      <w:r w:rsidR="00BB1571">
        <w:rPr>
          <w:rFonts w:ascii="Palatino Linotype" w:eastAsia="Arial Unicode MS" w:hAnsi="Palatino Linotype" w:cs="Tahoma"/>
        </w:rPr>
        <w:t xml:space="preserve"> de estos datos</w:t>
      </w:r>
      <w:r w:rsidR="005B0288">
        <w:rPr>
          <w:rFonts w:ascii="Palatino Linotype" w:eastAsia="Arial Unicode MS" w:hAnsi="Palatino Linotype" w:cs="Tahoma"/>
        </w:rPr>
        <w:t xml:space="preserve"> </w:t>
      </w:r>
      <w:r w:rsidR="00BB1571">
        <w:rPr>
          <w:rFonts w:ascii="Palatino Linotype" w:eastAsia="Arial Unicode MS" w:hAnsi="Palatino Linotype" w:cs="Tahoma"/>
        </w:rPr>
        <w:t>son</w:t>
      </w:r>
      <w:r w:rsidR="005B0288">
        <w:rPr>
          <w:rFonts w:ascii="Palatino Linotype" w:eastAsia="Arial Unicode MS" w:hAnsi="Palatino Linotype" w:cs="Tahoma"/>
        </w:rPr>
        <w:t xml:space="preserve"> que la autoridad fiscal </w:t>
      </w:r>
      <w:r>
        <w:rPr>
          <w:rFonts w:ascii="Palatino Linotype" w:eastAsia="Arial Unicode MS" w:hAnsi="Palatino Linotype" w:cs="Tahoma"/>
        </w:rPr>
        <w:t xml:space="preserve">(Secretaría de Hacienda y Crédito Público, a través del Servicio de Administración Tributaria), </w:t>
      </w:r>
      <w:r w:rsidR="005B0288">
        <w:rPr>
          <w:rFonts w:ascii="Palatino Linotype" w:eastAsia="Arial Unicode MS" w:hAnsi="Palatino Linotype" w:cs="Tahoma"/>
        </w:rPr>
        <w:t>pueda identificar la autoría de los comprobantes fiscales, para que alguien distinto a la autoridad fiscal federal; pueda hacer identificable a la persona con los datos de cadenas y sellos digitales, en requisito indispensable contar con el RFC del titular de la factura, el cual ha sido determinado como clasificado por tratarse de datos personales confidenciales</w:t>
      </w:r>
      <w:r w:rsidR="00BB1571">
        <w:rPr>
          <w:rFonts w:ascii="Palatino Linotype" w:eastAsia="Arial Unicode MS" w:hAnsi="Palatino Linotype" w:cs="Tahoma"/>
        </w:rPr>
        <w:t>, incluido el que aparece en el Código QR</w:t>
      </w:r>
      <w:r w:rsidR="005B0288">
        <w:rPr>
          <w:rFonts w:ascii="Palatino Linotype" w:eastAsia="Arial Unicode MS" w:hAnsi="Palatino Linotype" w:cs="Tahoma"/>
        </w:rPr>
        <w:t>.</w:t>
      </w:r>
    </w:p>
    <w:p w:rsidR="00DA0224" w:rsidRDefault="00DA0224" w:rsidP="00D62C09">
      <w:pPr>
        <w:spacing w:after="0" w:line="360" w:lineRule="auto"/>
        <w:jc w:val="both"/>
        <w:rPr>
          <w:rFonts w:ascii="Palatino Linotype" w:eastAsia="Arial Unicode MS" w:hAnsi="Palatino Linotype" w:cs="Tahoma"/>
        </w:rPr>
      </w:pPr>
    </w:p>
    <w:p w:rsidR="008F4FFA" w:rsidRDefault="00BB1571"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Además, l</w:t>
      </w:r>
      <w:r w:rsidR="008F4FFA">
        <w:rPr>
          <w:rFonts w:ascii="Palatino Linotype" w:eastAsia="Arial Unicode MS" w:hAnsi="Palatino Linotype" w:cs="Tahoma"/>
        </w:rPr>
        <w:t>os contribuyentes que emiten los recibos de pago, no son los servidores públicos</w:t>
      </w:r>
      <w:r>
        <w:rPr>
          <w:rFonts w:ascii="Palatino Linotype" w:eastAsia="Arial Unicode MS" w:hAnsi="Palatino Linotype" w:cs="Tahoma"/>
        </w:rPr>
        <w:t xml:space="preserve"> cuyo RFC es clasificado</w:t>
      </w:r>
      <w:r w:rsidR="008F4FFA">
        <w:rPr>
          <w:rFonts w:ascii="Palatino Linotype" w:eastAsia="Arial Unicode MS" w:hAnsi="Palatino Linotype" w:cs="Tahoma"/>
        </w:rPr>
        <w:t>; en efecto, el responsable de emitir los recibos de pago son los patrones; en este caso el Sujeto Obligado, por lo que la cadena original que aparece en los recibos no constituye una firma que por sí sola haga identificado o identificable a su titular, ya que se construye de datos encriptados.</w:t>
      </w:r>
      <w:bookmarkStart w:id="0" w:name="_GoBack"/>
      <w:bookmarkEnd w:id="0"/>
    </w:p>
    <w:p w:rsidR="003D400A" w:rsidRPr="006F1D9F" w:rsidRDefault="003D400A" w:rsidP="00D62C09">
      <w:pPr>
        <w:spacing w:after="0" w:line="360" w:lineRule="auto"/>
        <w:jc w:val="both"/>
        <w:rPr>
          <w:rFonts w:ascii="Palatino Linotype" w:hAnsi="Palatino Linotype" w:cs="Tahoma"/>
        </w:rPr>
      </w:pPr>
    </w:p>
    <w:p w:rsidR="00B73847" w:rsidRPr="003424F7" w:rsidRDefault="003D400A" w:rsidP="00D62C09">
      <w:pPr>
        <w:spacing w:after="0" w:line="360" w:lineRule="auto"/>
        <w:jc w:val="both"/>
        <w:rPr>
          <w:rFonts w:ascii="Palatino Linotype" w:eastAsia="Arial Unicode MS" w:hAnsi="Palatino Linotype" w:cs="Tahoma"/>
        </w:rPr>
      </w:pPr>
      <w:r>
        <w:rPr>
          <w:rFonts w:ascii="Palatino Linotype" w:hAnsi="Palatino Linotype" w:cs="Tahoma"/>
        </w:rPr>
        <w:t>En efecto, se trata de una serie de números, letras y símbolos que no dan cuenta de</w:t>
      </w:r>
      <w:r w:rsidR="00B2198B">
        <w:rPr>
          <w:rFonts w:ascii="Palatino Linotype" w:hAnsi="Palatino Linotype" w:cs="Tahoma"/>
        </w:rPr>
        <w:t xml:space="preserve">l RFC </w:t>
      </w:r>
      <w:r>
        <w:rPr>
          <w:rFonts w:ascii="Palatino Linotype" w:hAnsi="Palatino Linotype" w:cs="Tahoma"/>
        </w:rPr>
        <w:t>o algún otro dato confidencial</w:t>
      </w:r>
      <w:r w:rsidR="00D6548F" w:rsidRPr="003424F7">
        <w:rPr>
          <w:rFonts w:ascii="Palatino Linotype" w:eastAsia="Arial Unicode MS" w:hAnsi="Palatino Linotype" w:cs="Tahoma"/>
        </w:rPr>
        <w:t xml:space="preserve">. </w:t>
      </w:r>
      <w:r w:rsidR="000117EA">
        <w:rPr>
          <w:rFonts w:ascii="Palatino Linotype" w:eastAsia="Arial Unicode MS" w:hAnsi="Palatino Linotype" w:cs="Tahoma"/>
        </w:rPr>
        <w:t xml:space="preserve"> </w:t>
      </w:r>
      <w:r w:rsidR="00B73847"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00B73847" w:rsidRPr="003424F7">
        <w:rPr>
          <w:rFonts w:ascii="Palatino Linotype" w:eastAsia="Arial Unicode MS" w:hAnsi="Palatino Linotype" w:cs="Tahoma"/>
        </w:rPr>
        <w:t>de un recibo de nómina.</w:t>
      </w:r>
    </w:p>
    <w:p w:rsidR="00B73847" w:rsidRPr="00085241" w:rsidRDefault="00B73847" w:rsidP="00D62C09">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377784" cy="22382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576994" cy="2321144"/>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D62C09">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w:t>
      </w:r>
      <w:r w:rsidR="00B2198B">
        <w:rPr>
          <w:rFonts w:ascii="Palatino Linotype" w:eastAsia="Arial Unicode MS" w:hAnsi="Palatino Linotype" w:cs="Tahoma"/>
        </w:rPr>
        <w:t xml:space="preserve"> y con este a la información de la cadena original</w:t>
      </w:r>
      <w:r w:rsidRPr="003424F7">
        <w:rPr>
          <w:rFonts w:ascii="Palatino Linotype" w:eastAsia="Arial Unicode MS" w:hAnsi="Palatino Linotype" w:cs="Tahoma"/>
        </w:rPr>
        <w:t xml:space="preserve">.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0117EA" w:rsidRDefault="000117EA" w:rsidP="00D62C09">
      <w:pPr>
        <w:spacing w:after="0" w:line="360" w:lineRule="auto"/>
        <w:jc w:val="both"/>
        <w:rPr>
          <w:rFonts w:ascii="Palatino Linotype" w:eastAsia="Arial Unicode MS" w:hAnsi="Palatino Linotype" w:cs="Tahoma"/>
        </w:rPr>
      </w:pPr>
    </w:p>
    <w:p w:rsidR="004E40F0"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lastRenderedPageBreak/>
        <w:t xml:space="preserve">Las cadenas originales y sellos que se agregan a recibos de nómina </w:t>
      </w:r>
      <w:r w:rsidR="00B2198B">
        <w:rPr>
          <w:rFonts w:ascii="Palatino Linotype" w:eastAsia="Arial Unicode MS" w:hAnsi="Palatino Linotype" w:cs="Tahoma"/>
        </w:rPr>
        <w:t>y</w:t>
      </w:r>
      <w:r w:rsidRPr="003424F7">
        <w:rPr>
          <w:rFonts w:ascii="Palatino Linotype" w:eastAsia="Arial Unicode MS" w:hAnsi="Palatino Linotype" w:cs="Tahoma"/>
        </w:rPr>
        <w:t xml:space="preserve">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DA0224" w:rsidRDefault="00DA0224" w:rsidP="00D62C09">
      <w:pPr>
        <w:spacing w:after="0" w:line="360" w:lineRule="auto"/>
        <w:jc w:val="both"/>
        <w:rPr>
          <w:rFonts w:ascii="Palatino Linotype" w:eastAsia="Arial Unicode MS" w:hAnsi="Palatino Linotype" w:cs="Tahoma"/>
        </w:rPr>
      </w:pPr>
    </w:p>
    <w:p w:rsidR="00B30925" w:rsidRPr="003424F7" w:rsidRDefault="00993790" w:rsidP="00D62C09">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D62C09">
      <w:pPr>
        <w:spacing w:after="0" w:line="360" w:lineRule="auto"/>
        <w:jc w:val="both"/>
        <w:rPr>
          <w:rFonts w:ascii="Palatino Linotype" w:eastAsia="Arial Unicode MS" w:hAnsi="Palatino Linotype" w:cs="Tahoma"/>
        </w:rPr>
      </w:pPr>
    </w:p>
    <w:p w:rsidR="00B30925" w:rsidRPr="003424F7" w:rsidRDefault="00B30925"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D62C09">
      <w:pPr>
        <w:spacing w:after="0" w:line="360" w:lineRule="auto"/>
        <w:jc w:val="both"/>
        <w:rPr>
          <w:rFonts w:ascii="Palatino Linotype" w:eastAsia="Arial Unicode MS" w:hAnsi="Palatino Linotype" w:cs="Tahoma"/>
          <w:sz w:val="24"/>
          <w:szCs w:val="24"/>
        </w:rPr>
      </w:pP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085241" w:rsidRDefault="00B73847" w:rsidP="00D62C09">
      <w:pPr>
        <w:spacing w:after="0" w:line="360" w:lineRule="auto"/>
        <w:jc w:val="both"/>
        <w:rPr>
          <w:rFonts w:ascii="Palatino Linotype" w:eastAsia="Arial Unicode MS" w:hAnsi="Palatino Linotype" w:cs="Tahoma"/>
          <w:sz w:val="24"/>
          <w:szCs w:val="24"/>
        </w:rPr>
      </w:pPr>
    </w:p>
    <w:p w:rsidR="00A96CE5" w:rsidRPr="003424F7" w:rsidRDefault="00884A10"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w:t>
      </w:r>
      <w:r w:rsidR="006F1D9F">
        <w:rPr>
          <w:rFonts w:ascii="Palatino Linotype" w:eastAsia="Arial Unicode MS" w:hAnsi="Palatino Linotype" w:cs="Tahoma"/>
        </w:rPr>
        <w:t>úblicas, ya que no actualizan el</w:t>
      </w:r>
      <w:r w:rsidR="00A96CE5" w:rsidRPr="003424F7">
        <w:rPr>
          <w:rFonts w:ascii="Palatino Linotype" w:eastAsia="Arial Unicode MS" w:hAnsi="Palatino Linotype" w:cs="Tahoma"/>
        </w:rPr>
        <w:t xml:space="preserve">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D62C09">
      <w:pPr>
        <w:spacing w:after="0" w:line="360" w:lineRule="auto"/>
        <w:jc w:val="both"/>
        <w:rPr>
          <w:rFonts w:ascii="Palatino Linotype" w:eastAsia="Arial Unicode MS"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p w:rsidR="00CC10B4" w:rsidRPr="003424F7" w:rsidRDefault="00CC10B4" w:rsidP="00CC10B4">
      <w:pPr>
        <w:spacing w:after="0" w:line="360" w:lineRule="auto"/>
        <w:jc w:val="center"/>
        <w:rPr>
          <w:rFonts w:ascii="Palatino Linotype" w:hAnsi="Palatino Linotype" w:cs="Tahoma"/>
          <w:b/>
        </w:rPr>
      </w:pPr>
      <w:r w:rsidRPr="003424F7">
        <w:rPr>
          <w:rFonts w:ascii="Palatino Linotype" w:hAnsi="Palatino Linotype" w:cs="Tahoma"/>
          <w:b/>
        </w:rPr>
        <w:t>(Rúbrica)</w:t>
      </w:r>
    </w:p>
    <w:p w:rsidR="00CC10B4" w:rsidRPr="003424F7" w:rsidRDefault="00CC10B4" w:rsidP="00D62C09">
      <w:pPr>
        <w:spacing w:after="0" w:line="360" w:lineRule="auto"/>
        <w:jc w:val="center"/>
        <w:rPr>
          <w:rFonts w:ascii="Palatino Linotype" w:hAnsi="Palatino Linotype" w:cs="Tahoma"/>
        </w:rPr>
      </w:pPr>
    </w:p>
    <w:sectPr w:rsidR="00CC10B4"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93A" w:rsidRDefault="0042693A" w:rsidP="00EE29F6">
      <w:pPr>
        <w:spacing w:after="0" w:line="240" w:lineRule="auto"/>
      </w:pPr>
      <w:r>
        <w:separator/>
      </w:r>
    </w:p>
  </w:endnote>
  <w:endnote w:type="continuationSeparator" w:id="0">
    <w:p w:rsidR="0042693A" w:rsidRDefault="0042693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B1571">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B1571">
              <w:rPr>
                <w:b/>
                <w:bCs/>
                <w:noProof/>
              </w:rPr>
              <w:t>6</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93A" w:rsidRDefault="0042693A" w:rsidP="00EE29F6">
      <w:pPr>
        <w:spacing w:after="0" w:line="240" w:lineRule="auto"/>
      </w:pPr>
      <w:r>
        <w:separator/>
      </w:r>
    </w:p>
  </w:footnote>
  <w:footnote w:type="continuationSeparator" w:id="0">
    <w:p w:rsidR="0042693A" w:rsidRDefault="0042693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CE1BE1">
          <w:pPr>
            <w:pStyle w:val="Encabezado"/>
            <w:ind w:left="-108" w:right="170"/>
            <w:jc w:val="both"/>
            <w:rPr>
              <w:rFonts w:ascii="Palatino Linotype" w:hAnsi="Palatino Linotype"/>
              <w:b/>
              <w:lang w:val="es-ES_tradnl"/>
            </w:rPr>
          </w:pPr>
          <w:r w:rsidRPr="00085241">
            <w:rPr>
              <w:rFonts w:ascii="Palatino Linotype" w:hAnsi="Palatino Linotype" w:cs="Tahoma"/>
              <w:b/>
            </w:rPr>
            <w:t>Recurso de Revisión:</w:t>
          </w:r>
          <w:r w:rsidR="007A3584">
            <w:rPr>
              <w:rFonts w:ascii="Palatino Linotype" w:hAnsi="Palatino Linotype" w:cs="Tahoma"/>
              <w:b/>
            </w:rPr>
            <w:t xml:space="preserve"> </w:t>
          </w:r>
          <w:r w:rsidR="007A3584" w:rsidRPr="007A3584">
            <w:rPr>
              <w:rFonts w:ascii="Palatino Linotype" w:hAnsi="Palatino Linotype" w:cs="Tahoma"/>
              <w:b/>
            </w:rPr>
            <w:t>04</w:t>
          </w:r>
          <w:r w:rsidR="000E00DB">
            <w:rPr>
              <w:rFonts w:ascii="Palatino Linotype" w:hAnsi="Palatino Linotype" w:cs="Tahoma"/>
              <w:b/>
            </w:rPr>
            <w:t>5</w:t>
          </w:r>
          <w:r w:rsidR="007A3584" w:rsidRPr="007A3584">
            <w:rPr>
              <w:rFonts w:ascii="Palatino Linotype" w:hAnsi="Palatino Linotype" w:cs="Tahoma"/>
              <w:b/>
            </w:rPr>
            <w:t>80/</w:t>
          </w:r>
          <w:r w:rsidR="007A3584">
            <w:rPr>
              <w:rFonts w:ascii="Palatino Linotype" w:hAnsi="Palatino Linotype" w:cs="Tahoma"/>
              <w:b/>
            </w:rPr>
            <w:t>INFOEM/IP/RR/2018</w:t>
          </w:r>
          <w:r w:rsidR="000E00DB">
            <w:rPr>
              <w:rFonts w:ascii="Palatino Linotype" w:hAnsi="Palatino Linotype" w:cs="Tahoma"/>
              <w:b/>
            </w:rPr>
            <w:t>.</w:t>
          </w:r>
        </w:p>
        <w:p w:rsidR="00CE1BE1" w:rsidRDefault="00CE1BE1" w:rsidP="00CE1BE1">
          <w:pPr>
            <w:pStyle w:val="Encabezado"/>
            <w:ind w:left="-108" w:right="170"/>
            <w:jc w:val="both"/>
            <w:rPr>
              <w:rFonts w:ascii="Palatino Linotype" w:hAnsi="Palatino Linotype"/>
              <w:b/>
              <w:lang w:val="es-MX"/>
            </w:rPr>
          </w:pPr>
          <w:r>
            <w:rPr>
              <w:rFonts w:ascii="Palatino Linotype" w:hAnsi="Palatino Linotype" w:cs="Tahoma"/>
              <w:b/>
            </w:rPr>
            <w:t>Sujeto Obligado:</w:t>
          </w:r>
          <w:r w:rsidR="007A3584">
            <w:rPr>
              <w:rFonts w:ascii="Palatino Linotype" w:hAnsi="Palatino Linotype" w:cs="Tahoma"/>
              <w:b/>
            </w:rPr>
            <w:t xml:space="preserve"> Secretaría de Finanzas</w:t>
          </w:r>
          <w:r>
            <w:rPr>
              <w:rFonts w:ascii="Palatino Linotype" w:hAnsi="Palatino Linotype"/>
              <w:b/>
              <w:lang w:val="es-MX"/>
            </w:rPr>
            <w:t>.</w:t>
          </w:r>
        </w:p>
        <w:p w:rsidR="00363357"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 xml:space="preserve">Comisionada Ponente: </w:t>
          </w:r>
          <w:r w:rsidR="007A3584">
            <w:rPr>
              <w:rFonts w:ascii="Palatino Linotype" w:hAnsi="Palatino Linotype" w:cs="Tahoma"/>
              <w:b/>
            </w:rPr>
            <w:t>Zulema Martínez Sánchez</w:t>
          </w:r>
          <w:r w:rsidR="00CE1BE1">
            <w:rPr>
              <w:rFonts w:ascii="Palatino Linotype" w:hAnsi="Palatino Linotype" w:cs="Tahoma"/>
              <w:b/>
            </w:rPr>
            <w:t xml:space="preserve">. </w:t>
          </w:r>
        </w:p>
        <w:p w:rsidR="0097366F" w:rsidRPr="001106EA" w:rsidRDefault="0097366F" w:rsidP="00CE1BE1">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913765"/>
    <w:multiLevelType w:val="hybridMultilevel"/>
    <w:tmpl w:val="6F36EB74"/>
    <w:lvl w:ilvl="0" w:tplc="22767628">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6"/>
  </w:num>
  <w:num w:numId="9">
    <w:abstractNumId w:val="12"/>
  </w:num>
  <w:num w:numId="10">
    <w:abstractNumId w:val="13"/>
  </w:num>
  <w:num w:numId="11">
    <w:abstractNumId w:val="15"/>
  </w:num>
  <w:num w:numId="12">
    <w:abstractNumId w:val="1"/>
  </w:num>
  <w:num w:numId="13">
    <w:abstractNumId w:val="7"/>
  </w:num>
  <w:num w:numId="14">
    <w:abstractNumId w:val="17"/>
  </w:num>
  <w:num w:numId="15">
    <w:abstractNumId w:val="5"/>
  </w:num>
  <w:num w:numId="16">
    <w:abstractNumId w:val="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0472"/>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C7FD1"/>
    <w:rsid w:val="000D186F"/>
    <w:rsid w:val="000E00DB"/>
    <w:rsid w:val="00104333"/>
    <w:rsid w:val="0010688C"/>
    <w:rsid w:val="001106EA"/>
    <w:rsid w:val="001159DC"/>
    <w:rsid w:val="0011653D"/>
    <w:rsid w:val="00116E1A"/>
    <w:rsid w:val="001336CC"/>
    <w:rsid w:val="00136AD8"/>
    <w:rsid w:val="0014038B"/>
    <w:rsid w:val="00140A57"/>
    <w:rsid w:val="0014736A"/>
    <w:rsid w:val="00161815"/>
    <w:rsid w:val="00162325"/>
    <w:rsid w:val="00164625"/>
    <w:rsid w:val="00164BFE"/>
    <w:rsid w:val="0017349A"/>
    <w:rsid w:val="0018472D"/>
    <w:rsid w:val="00193AA8"/>
    <w:rsid w:val="00197A72"/>
    <w:rsid w:val="001A145C"/>
    <w:rsid w:val="001A3973"/>
    <w:rsid w:val="001A6BD9"/>
    <w:rsid w:val="001C1C64"/>
    <w:rsid w:val="001C363A"/>
    <w:rsid w:val="001C3F2E"/>
    <w:rsid w:val="0020052A"/>
    <w:rsid w:val="002051AA"/>
    <w:rsid w:val="00231B68"/>
    <w:rsid w:val="00243A13"/>
    <w:rsid w:val="00246FAF"/>
    <w:rsid w:val="00271A1E"/>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4DD1"/>
    <w:rsid w:val="003512C9"/>
    <w:rsid w:val="00363357"/>
    <w:rsid w:val="00376FB5"/>
    <w:rsid w:val="00390188"/>
    <w:rsid w:val="003973A2"/>
    <w:rsid w:val="003A6218"/>
    <w:rsid w:val="003B5F3A"/>
    <w:rsid w:val="003B6547"/>
    <w:rsid w:val="003B7A5E"/>
    <w:rsid w:val="003D400A"/>
    <w:rsid w:val="003F2426"/>
    <w:rsid w:val="003F48C2"/>
    <w:rsid w:val="003F7CBE"/>
    <w:rsid w:val="0040139C"/>
    <w:rsid w:val="00412CB2"/>
    <w:rsid w:val="004211BB"/>
    <w:rsid w:val="0042693A"/>
    <w:rsid w:val="00433746"/>
    <w:rsid w:val="00434B91"/>
    <w:rsid w:val="00434C88"/>
    <w:rsid w:val="00435E69"/>
    <w:rsid w:val="0044391A"/>
    <w:rsid w:val="004452E2"/>
    <w:rsid w:val="00445BDF"/>
    <w:rsid w:val="00447F6F"/>
    <w:rsid w:val="0045695E"/>
    <w:rsid w:val="00467ACB"/>
    <w:rsid w:val="004808C0"/>
    <w:rsid w:val="00485822"/>
    <w:rsid w:val="00490F50"/>
    <w:rsid w:val="00497C56"/>
    <w:rsid w:val="004A4555"/>
    <w:rsid w:val="004A555E"/>
    <w:rsid w:val="004B08C4"/>
    <w:rsid w:val="004B541F"/>
    <w:rsid w:val="004B674B"/>
    <w:rsid w:val="004C4912"/>
    <w:rsid w:val="004C6E57"/>
    <w:rsid w:val="004E2E30"/>
    <w:rsid w:val="004E40F0"/>
    <w:rsid w:val="004E4CA3"/>
    <w:rsid w:val="004E7007"/>
    <w:rsid w:val="004F0B86"/>
    <w:rsid w:val="00500998"/>
    <w:rsid w:val="00511E06"/>
    <w:rsid w:val="005139FC"/>
    <w:rsid w:val="0052260F"/>
    <w:rsid w:val="00524DA5"/>
    <w:rsid w:val="00526DBD"/>
    <w:rsid w:val="00543DF4"/>
    <w:rsid w:val="00544812"/>
    <w:rsid w:val="00545B75"/>
    <w:rsid w:val="00550AA5"/>
    <w:rsid w:val="00550E19"/>
    <w:rsid w:val="00553ADE"/>
    <w:rsid w:val="0056120D"/>
    <w:rsid w:val="00582CCB"/>
    <w:rsid w:val="00584D73"/>
    <w:rsid w:val="00592A1B"/>
    <w:rsid w:val="0059329D"/>
    <w:rsid w:val="005A2510"/>
    <w:rsid w:val="005B0288"/>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1D9F"/>
    <w:rsid w:val="006F5316"/>
    <w:rsid w:val="00706373"/>
    <w:rsid w:val="007071CF"/>
    <w:rsid w:val="00721B3E"/>
    <w:rsid w:val="00722FE9"/>
    <w:rsid w:val="00724F08"/>
    <w:rsid w:val="007378E2"/>
    <w:rsid w:val="00742A15"/>
    <w:rsid w:val="0077694E"/>
    <w:rsid w:val="00781082"/>
    <w:rsid w:val="00792848"/>
    <w:rsid w:val="007A1071"/>
    <w:rsid w:val="007A2D13"/>
    <w:rsid w:val="007A3584"/>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8C9"/>
    <w:rsid w:val="008E54E2"/>
    <w:rsid w:val="008F4FFA"/>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855BE"/>
    <w:rsid w:val="00993790"/>
    <w:rsid w:val="009943E1"/>
    <w:rsid w:val="00995693"/>
    <w:rsid w:val="009A64EE"/>
    <w:rsid w:val="009B22ED"/>
    <w:rsid w:val="009B2C0B"/>
    <w:rsid w:val="009C0313"/>
    <w:rsid w:val="009D07E2"/>
    <w:rsid w:val="009D40ED"/>
    <w:rsid w:val="009D49BE"/>
    <w:rsid w:val="009E0861"/>
    <w:rsid w:val="009E41F7"/>
    <w:rsid w:val="00A0224B"/>
    <w:rsid w:val="00A13E40"/>
    <w:rsid w:val="00A14343"/>
    <w:rsid w:val="00A22273"/>
    <w:rsid w:val="00A25D94"/>
    <w:rsid w:val="00A30C52"/>
    <w:rsid w:val="00A310E9"/>
    <w:rsid w:val="00A364BA"/>
    <w:rsid w:val="00A462CB"/>
    <w:rsid w:val="00A5061A"/>
    <w:rsid w:val="00A54163"/>
    <w:rsid w:val="00A54E21"/>
    <w:rsid w:val="00A67498"/>
    <w:rsid w:val="00A742D1"/>
    <w:rsid w:val="00A87924"/>
    <w:rsid w:val="00A96933"/>
    <w:rsid w:val="00A96CE5"/>
    <w:rsid w:val="00AA00D3"/>
    <w:rsid w:val="00AA090B"/>
    <w:rsid w:val="00AA261E"/>
    <w:rsid w:val="00AA38A5"/>
    <w:rsid w:val="00AC1379"/>
    <w:rsid w:val="00AC333A"/>
    <w:rsid w:val="00AD25D5"/>
    <w:rsid w:val="00AD62AD"/>
    <w:rsid w:val="00AF3B6B"/>
    <w:rsid w:val="00B05E6F"/>
    <w:rsid w:val="00B06EC7"/>
    <w:rsid w:val="00B15570"/>
    <w:rsid w:val="00B2198B"/>
    <w:rsid w:val="00B22AAE"/>
    <w:rsid w:val="00B2355E"/>
    <w:rsid w:val="00B263C5"/>
    <w:rsid w:val="00B27BBC"/>
    <w:rsid w:val="00B30925"/>
    <w:rsid w:val="00B372BE"/>
    <w:rsid w:val="00B44777"/>
    <w:rsid w:val="00B67355"/>
    <w:rsid w:val="00B71740"/>
    <w:rsid w:val="00B73847"/>
    <w:rsid w:val="00B7393F"/>
    <w:rsid w:val="00B761B1"/>
    <w:rsid w:val="00B80C28"/>
    <w:rsid w:val="00BB1571"/>
    <w:rsid w:val="00BB6EE3"/>
    <w:rsid w:val="00BC1C04"/>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41D86"/>
    <w:rsid w:val="00C54EF3"/>
    <w:rsid w:val="00C55FFC"/>
    <w:rsid w:val="00C56B73"/>
    <w:rsid w:val="00C75CE0"/>
    <w:rsid w:val="00C920D4"/>
    <w:rsid w:val="00CA7627"/>
    <w:rsid w:val="00CB1C37"/>
    <w:rsid w:val="00CB6F8B"/>
    <w:rsid w:val="00CC10B4"/>
    <w:rsid w:val="00CC68E1"/>
    <w:rsid w:val="00CD4339"/>
    <w:rsid w:val="00CD6D0D"/>
    <w:rsid w:val="00CD7611"/>
    <w:rsid w:val="00CE1BE1"/>
    <w:rsid w:val="00CE46B3"/>
    <w:rsid w:val="00CE50F9"/>
    <w:rsid w:val="00CF11EE"/>
    <w:rsid w:val="00CF1B14"/>
    <w:rsid w:val="00CF432B"/>
    <w:rsid w:val="00CF7899"/>
    <w:rsid w:val="00D0433F"/>
    <w:rsid w:val="00D05740"/>
    <w:rsid w:val="00D13875"/>
    <w:rsid w:val="00D15D07"/>
    <w:rsid w:val="00D160F2"/>
    <w:rsid w:val="00D342D7"/>
    <w:rsid w:val="00D357E1"/>
    <w:rsid w:val="00D37CDC"/>
    <w:rsid w:val="00D4213E"/>
    <w:rsid w:val="00D45BDF"/>
    <w:rsid w:val="00D51426"/>
    <w:rsid w:val="00D51C81"/>
    <w:rsid w:val="00D55306"/>
    <w:rsid w:val="00D55429"/>
    <w:rsid w:val="00D62C09"/>
    <w:rsid w:val="00D6548F"/>
    <w:rsid w:val="00D65D0C"/>
    <w:rsid w:val="00D666D4"/>
    <w:rsid w:val="00D7239D"/>
    <w:rsid w:val="00D75FAE"/>
    <w:rsid w:val="00D76EA4"/>
    <w:rsid w:val="00D77F63"/>
    <w:rsid w:val="00D81CB3"/>
    <w:rsid w:val="00D9114A"/>
    <w:rsid w:val="00D932AD"/>
    <w:rsid w:val="00D94092"/>
    <w:rsid w:val="00DA0224"/>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2363"/>
    <w:rsid w:val="00EA61E1"/>
    <w:rsid w:val="00EA7E26"/>
    <w:rsid w:val="00EB7128"/>
    <w:rsid w:val="00EE29F6"/>
    <w:rsid w:val="00EF7F0F"/>
    <w:rsid w:val="00F05A41"/>
    <w:rsid w:val="00F14384"/>
    <w:rsid w:val="00F401C1"/>
    <w:rsid w:val="00F44957"/>
    <w:rsid w:val="00F71364"/>
    <w:rsid w:val="00F71DED"/>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C3F2E"/>
  </w:style>
  <w:style w:type="paragraph" w:styleId="Sinespaciado">
    <w:name w:val="No Spacing"/>
    <w:aliases w:val="Francesa"/>
    <w:link w:val="SinespaciadoCar"/>
    <w:uiPriority w:val="1"/>
    <w:qFormat/>
    <w:rsid w:val="001C3F2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1C3F2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42B2-2C95-43E4-82A9-E4157A6E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1348</Words>
  <Characters>7416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15</cp:revision>
  <cp:lastPrinted>2018-11-07T01:19:00Z</cp:lastPrinted>
  <dcterms:created xsi:type="dcterms:W3CDTF">2019-02-14T18:23:00Z</dcterms:created>
  <dcterms:modified xsi:type="dcterms:W3CDTF">2019-02-18T15:38:00Z</dcterms:modified>
</cp:coreProperties>
</file>